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jc w:val="center"/>
        <w:rPr>
          <w:rFonts w:hint="eastAsia" w:ascii="方正小标宋简体" w:hAnsi="楷体" w:eastAsia="方正小标宋简体" w:cs="Times New Roman"/>
          <w:sz w:val="36"/>
          <w:szCs w:val="36"/>
        </w:rPr>
      </w:pPr>
      <w:bookmarkStart w:id="0" w:name="_GoBack"/>
      <w:bookmarkEnd w:id="0"/>
      <w:r>
        <w:rPr>
          <w:rFonts w:hint="eastAsia" w:ascii="方正小标宋简体" w:hAnsi="楷体" w:eastAsia="方正小标宋简体" w:cs="Times New Roman"/>
          <w:sz w:val="36"/>
          <w:szCs w:val="36"/>
        </w:rPr>
        <w:t>赤峰学院专业学位研究生实践基地建设及管理办法</w:t>
      </w:r>
    </w:p>
    <w:p>
      <w:pPr>
        <w:spacing w:line="500" w:lineRule="exact"/>
        <w:jc w:val="center"/>
        <w:rPr>
          <w:rFonts w:hint="eastAsia" w:ascii="仿宋" w:hAnsi="仿宋" w:eastAsia="仿宋"/>
          <w:sz w:val="30"/>
          <w:szCs w:val="30"/>
          <w:lang w:val="en-US" w:eastAsia="zh-CN"/>
        </w:rPr>
      </w:pPr>
      <w:r>
        <w:rPr>
          <w:rFonts w:hint="eastAsia" w:ascii="仿宋" w:hAnsi="仿宋" w:eastAsia="仿宋"/>
          <w:sz w:val="30"/>
          <w:szCs w:val="30"/>
        </w:rPr>
        <w:t>赤院院字[20</w:t>
      </w:r>
      <w:r>
        <w:rPr>
          <w:rFonts w:ascii="仿宋" w:hAnsi="仿宋" w:eastAsia="仿宋"/>
          <w:sz w:val="30"/>
          <w:szCs w:val="30"/>
        </w:rPr>
        <w:t>21</w:t>
      </w:r>
      <w:r>
        <w:rPr>
          <w:rFonts w:hint="eastAsia" w:ascii="仿宋" w:hAnsi="仿宋" w:eastAsia="仿宋"/>
          <w:sz w:val="30"/>
          <w:szCs w:val="30"/>
        </w:rPr>
        <w:t>]</w:t>
      </w:r>
      <w:r>
        <w:rPr>
          <w:rFonts w:ascii="仿宋" w:hAnsi="仿宋" w:eastAsia="仿宋"/>
          <w:sz w:val="30"/>
          <w:szCs w:val="30"/>
        </w:rPr>
        <w:t>142</w:t>
      </w:r>
      <w:r>
        <w:rPr>
          <w:rFonts w:hint="eastAsia" w:ascii="仿宋" w:hAnsi="仿宋" w:eastAsia="仿宋"/>
          <w:sz w:val="30"/>
          <w:szCs w:val="30"/>
        </w:rPr>
        <w:t>号 附件</w:t>
      </w:r>
      <w:r>
        <w:rPr>
          <w:rFonts w:hint="eastAsia" w:ascii="仿宋" w:hAnsi="仿宋" w:eastAsia="仿宋"/>
          <w:sz w:val="30"/>
          <w:szCs w:val="30"/>
          <w:lang w:val="en-US" w:eastAsia="zh-CN"/>
        </w:rPr>
        <w:t>3</w:t>
      </w:r>
    </w:p>
    <w:p>
      <w:pPr>
        <w:spacing w:line="500" w:lineRule="exact"/>
        <w:jc w:val="center"/>
        <w:rPr>
          <w:rFonts w:hint="eastAsia" w:ascii="仿宋" w:hAnsi="仿宋" w:eastAsia="仿宋"/>
          <w:sz w:val="30"/>
          <w:szCs w:val="30"/>
          <w:lang w:val="en-US" w:eastAsia="zh-CN"/>
        </w:rPr>
      </w:pPr>
    </w:p>
    <w:p>
      <w:pPr>
        <w:adjustRightInd w:val="0"/>
        <w:snapToGrid w:val="0"/>
        <w:spacing w:line="360" w:lineRule="auto"/>
        <w:ind w:firstLine="600" w:firstLineChars="200"/>
        <w:rPr>
          <w:rFonts w:ascii="仿宋" w:hAnsi="仿宋" w:eastAsia="仿宋"/>
          <w:b/>
          <w:sz w:val="30"/>
          <w:szCs w:val="30"/>
        </w:rPr>
      </w:pPr>
      <w:r>
        <w:rPr>
          <w:rFonts w:hint="eastAsia" w:ascii="仿宋" w:hAnsi="仿宋" w:eastAsia="仿宋"/>
          <w:sz w:val="30"/>
          <w:szCs w:val="30"/>
        </w:rPr>
        <w:t>根据教育部、国家发展改革委、财政部《关于加快新时代研究生教育改革发展的意见》（教研〔</w:t>
      </w:r>
      <w:r>
        <w:rPr>
          <w:rFonts w:ascii="仿宋" w:hAnsi="仿宋" w:eastAsia="仿宋"/>
          <w:sz w:val="30"/>
          <w:szCs w:val="30"/>
        </w:rPr>
        <w:t>2020〕9号）及国务院学位委员会、教育部《关于印发&lt;</w:t>
      </w:r>
      <w:r>
        <w:rPr>
          <w:rFonts w:hint="eastAsia" w:ascii="仿宋" w:hAnsi="仿宋" w:eastAsia="仿宋"/>
          <w:sz w:val="30"/>
          <w:szCs w:val="30"/>
        </w:rPr>
        <w:t>专业学位研究生教育发展方案（</w:t>
      </w:r>
      <w:r>
        <w:rPr>
          <w:rFonts w:ascii="仿宋" w:hAnsi="仿宋" w:eastAsia="仿宋"/>
          <w:sz w:val="30"/>
          <w:szCs w:val="30"/>
        </w:rPr>
        <w:t>2020-2025）&gt;</w:t>
      </w:r>
      <w:r>
        <w:rPr>
          <w:rFonts w:hint="eastAsia" w:ascii="仿宋" w:hAnsi="仿宋" w:eastAsia="仿宋"/>
          <w:sz w:val="30"/>
          <w:szCs w:val="30"/>
        </w:rPr>
        <w:t>的通知》（学位〔</w:t>
      </w:r>
      <w:r>
        <w:rPr>
          <w:rFonts w:ascii="仿宋" w:hAnsi="仿宋" w:eastAsia="仿宋"/>
          <w:sz w:val="30"/>
          <w:szCs w:val="30"/>
        </w:rPr>
        <w:t>2020〕20号）等文件精神，结合学校专业学位研究生培养要求，</w:t>
      </w:r>
      <w:r>
        <w:rPr>
          <w:rFonts w:hint="eastAsia" w:ascii="仿宋" w:hAnsi="仿宋" w:eastAsia="仿宋"/>
          <w:sz w:val="30"/>
          <w:szCs w:val="30"/>
        </w:rPr>
        <w:t>为进一步</w:t>
      </w:r>
      <w:r>
        <w:rPr>
          <w:rFonts w:ascii="仿宋" w:hAnsi="仿宋" w:eastAsia="仿宋"/>
          <w:sz w:val="30"/>
          <w:szCs w:val="30"/>
        </w:rPr>
        <w:t>加强专业学位研究生实践教学</w:t>
      </w:r>
      <w:r>
        <w:rPr>
          <w:rFonts w:hint="eastAsia" w:ascii="仿宋" w:hAnsi="仿宋" w:eastAsia="仿宋"/>
          <w:sz w:val="30"/>
          <w:szCs w:val="30"/>
        </w:rPr>
        <w:t>、</w:t>
      </w:r>
      <w:r>
        <w:rPr>
          <w:rFonts w:ascii="仿宋" w:hAnsi="仿宋" w:eastAsia="仿宋"/>
          <w:sz w:val="30"/>
          <w:szCs w:val="30"/>
        </w:rPr>
        <w:t>强化产教融合育人机制</w:t>
      </w:r>
      <w:r>
        <w:rPr>
          <w:rFonts w:hint="eastAsia" w:ascii="仿宋" w:hAnsi="仿宋" w:eastAsia="仿宋"/>
          <w:sz w:val="30"/>
          <w:szCs w:val="30"/>
        </w:rPr>
        <w:t>、提升</w:t>
      </w:r>
      <w:r>
        <w:rPr>
          <w:rFonts w:ascii="仿宋" w:hAnsi="仿宋" w:eastAsia="仿宋"/>
          <w:sz w:val="30"/>
          <w:szCs w:val="30"/>
        </w:rPr>
        <w:t>实践创新能力</w:t>
      </w:r>
      <w:r>
        <w:rPr>
          <w:rFonts w:hint="eastAsia" w:ascii="仿宋" w:hAnsi="仿宋" w:eastAsia="仿宋"/>
          <w:sz w:val="30"/>
          <w:szCs w:val="30"/>
        </w:rPr>
        <w:t>、</w:t>
      </w:r>
      <w:r>
        <w:rPr>
          <w:rFonts w:ascii="仿宋" w:hAnsi="仿宋" w:eastAsia="仿宋"/>
          <w:sz w:val="30"/>
          <w:szCs w:val="30"/>
        </w:rPr>
        <w:t>规范和加强实践基地的建设和管理，特制定本办法。</w:t>
      </w:r>
    </w:p>
    <w:p>
      <w:pPr>
        <w:adjustRightInd w:val="0"/>
        <w:snapToGrid w:val="0"/>
        <w:spacing w:before="156" w:beforeLines="50" w:after="156" w:afterLines="50"/>
        <w:ind w:firstLine="3313" w:firstLineChars="1100"/>
        <w:rPr>
          <w:rFonts w:ascii="仿宋" w:hAnsi="仿宋" w:eastAsia="仿宋"/>
          <w:b/>
          <w:sz w:val="30"/>
          <w:szCs w:val="30"/>
        </w:rPr>
      </w:pPr>
      <w:r>
        <w:rPr>
          <w:rFonts w:hint="eastAsia" w:ascii="仿宋" w:hAnsi="仿宋" w:eastAsia="仿宋"/>
          <w:b/>
          <w:sz w:val="30"/>
          <w:szCs w:val="30"/>
        </w:rPr>
        <w:t>第一章</w:t>
      </w:r>
      <w:r>
        <w:rPr>
          <w:rFonts w:ascii="仿宋" w:hAnsi="仿宋" w:eastAsia="仿宋"/>
          <w:b/>
          <w:sz w:val="30"/>
          <w:szCs w:val="30"/>
        </w:rPr>
        <w:t xml:space="preserve"> </w:t>
      </w:r>
      <w:r>
        <w:rPr>
          <w:rFonts w:hint="eastAsia" w:ascii="仿宋" w:hAnsi="仿宋" w:eastAsia="仿宋"/>
          <w:b/>
          <w:sz w:val="30"/>
          <w:szCs w:val="30"/>
        </w:rPr>
        <w:t>总</w:t>
      </w:r>
      <w:r>
        <w:rPr>
          <w:rFonts w:ascii="仿宋" w:hAnsi="仿宋" w:eastAsia="仿宋"/>
          <w:b/>
          <w:sz w:val="30"/>
          <w:szCs w:val="30"/>
        </w:rPr>
        <w:t xml:space="preserve"> </w:t>
      </w:r>
      <w:r>
        <w:rPr>
          <w:rFonts w:hint="eastAsia" w:ascii="仿宋" w:hAnsi="仿宋" w:eastAsia="仿宋"/>
          <w:b/>
          <w:sz w:val="30"/>
          <w:szCs w:val="30"/>
        </w:rPr>
        <w:t>则</w:t>
      </w:r>
    </w:p>
    <w:p>
      <w:pPr>
        <w:adjustRightInd w:val="0"/>
        <w:snapToGrid w:val="0"/>
        <w:spacing w:line="360" w:lineRule="auto"/>
        <w:ind w:firstLine="602" w:firstLineChars="200"/>
        <w:rPr>
          <w:rFonts w:ascii="仿宋" w:hAnsi="仿宋" w:eastAsia="仿宋"/>
          <w:sz w:val="30"/>
          <w:szCs w:val="30"/>
        </w:rPr>
      </w:pPr>
      <w:r>
        <w:rPr>
          <w:rFonts w:hint="eastAsia" w:ascii="仿宋" w:hAnsi="仿宋" w:eastAsia="仿宋"/>
          <w:b/>
          <w:sz w:val="30"/>
          <w:szCs w:val="30"/>
        </w:rPr>
        <w:t>第一条</w:t>
      </w:r>
      <w:r>
        <w:rPr>
          <w:rFonts w:ascii="仿宋" w:hAnsi="仿宋" w:eastAsia="仿宋"/>
          <w:sz w:val="30"/>
          <w:szCs w:val="30"/>
        </w:rPr>
        <w:t xml:space="preserve"> </w:t>
      </w:r>
      <w:r>
        <w:rPr>
          <w:rFonts w:hint="eastAsia" w:ascii="仿宋" w:hAnsi="仿宋" w:eastAsia="仿宋"/>
          <w:sz w:val="30"/>
          <w:szCs w:val="30"/>
        </w:rPr>
        <w:t>实践基地的界定。本办法所指的专业学位研究生实践基地是我校与企事业、科研机构、行业、社会组织、党政机关（以下简称实践基地）共同建立的人才培养平台，是学校开展校企联合培养以及专业学位研究生开展专业实践的主要载体。</w:t>
      </w:r>
    </w:p>
    <w:p>
      <w:pPr>
        <w:adjustRightInd w:val="0"/>
        <w:snapToGrid w:val="0"/>
        <w:spacing w:line="360" w:lineRule="auto"/>
        <w:ind w:firstLine="602" w:firstLineChars="200"/>
        <w:rPr>
          <w:rFonts w:ascii="仿宋" w:hAnsi="仿宋" w:eastAsia="仿宋"/>
          <w:sz w:val="30"/>
          <w:szCs w:val="30"/>
        </w:rPr>
      </w:pPr>
      <w:r>
        <w:rPr>
          <w:rFonts w:hint="eastAsia" w:ascii="仿宋" w:hAnsi="仿宋" w:eastAsia="仿宋"/>
          <w:b/>
          <w:sz w:val="30"/>
          <w:szCs w:val="30"/>
        </w:rPr>
        <w:t>第二条</w:t>
      </w:r>
      <w:r>
        <w:rPr>
          <w:rFonts w:ascii="仿宋" w:hAnsi="仿宋" w:eastAsia="仿宋"/>
          <w:sz w:val="30"/>
          <w:szCs w:val="30"/>
        </w:rPr>
        <w:t xml:space="preserve"> </w:t>
      </w:r>
      <w:r>
        <w:rPr>
          <w:rFonts w:hint="eastAsia" w:ascii="仿宋" w:hAnsi="仿宋" w:eastAsia="仿宋"/>
          <w:sz w:val="30"/>
          <w:szCs w:val="30"/>
        </w:rPr>
        <w:t>建设和管理的基本原则：按需设立，分层管理，稳定有序，讲求实效，注重示范，动态调整。</w:t>
      </w:r>
    </w:p>
    <w:p>
      <w:pPr>
        <w:adjustRightInd w:val="0"/>
        <w:snapToGrid w:val="0"/>
        <w:spacing w:line="360" w:lineRule="auto"/>
        <w:ind w:firstLine="602" w:firstLineChars="200"/>
        <w:rPr>
          <w:rFonts w:ascii="仿宋" w:hAnsi="仿宋" w:eastAsia="仿宋"/>
          <w:b/>
          <w:sz w:val="30"/>
          <w:szCs w:val="30"/>
        </w:rPr>
      </w:pPr>
      <w:r>
        <w:rPr>
          <w:rFonts w:hint="eastAsia" w:ascii="仿宋" w:hAnsi="仿宋" w:eastAsia="仿宋"/>
          <w:b/>
          <w:sz w:val="30"/>
          <w:szCs w:val="30"/>
        </w:rPr>
        <w:t>第三条</w:t>
      </w:r>
      <w:r>
        <w:rPr>
          <w:rFonts w:ascii="仿宋" w:hAnsi="仿宋" w:eastAsia="仿宋"/>
          <w:sz w:val="30"/>
          <w:szCs w:val="30"/>
        </w:rPr>
        <w:t xml:space="preserve"> </w:t>
      </w:r>
      <w:r>
        <w:rPr>
          <w:rFonts w:hint="eastAsia" w:ascii="仿宋" w:hAnsi="仿宋" w:eastAsia="仿宋"/>
          <w:sz w:val="30"/>
          <w:szCs w:val="30"/>
        </w:rPr>
        <w:t>日常管理。实践工作的日常管理和安全工作由培养单位与实践基地共同负责，研究生管理部门对实践基地负有指导和监督的责任。</w:t>
      </w:r>
    </w:p>
    <w:p>
      <w:pPr>
        <w:adjustRightInd w:val="0"/>
        <w:snapToGrid w:val="0"/>
        <w:spacing w:before="156" w:beforeLines="50" w:after="156" w:afterLines="50"/>
        <w:ind w:firstLine="602" w:firstLineChars="200"/>
        <w:jc w:val="center"/>
        <w:rPr>
          <w:rFonts w:ascii="仿宋" w:hAnsi="仿宋" w:eastAsia="仿宋"/>
          <w:b/>
          <w:sz w:val="30"/>
          <w:szCs w:val="30"/>
        </w:rPr>
      </w:pPr>
      <w:r>
        <w:rPr>
          <w:rFonts w:ascii="仿宋" w:hAnsi="仿宋" w:eastAsia="仿宋"/>
          <w:b/>
          <w:sz w:val="30"/>
          <w:szCs w:val="30"/>
        </w:rPr>
        <w:t xml:space="preserve"> 第二章 实践基地的</w:t>
      </w:r>
      <w:r>
        <w:rPr>
          <w:rFonts w:hint="eastAsia" w:ascii="仿宋" w:hAnsi="仿宋" w:eastAsia="仿宋"/>
          <w:b/>
          <w:sz w:val="30"/>
          <w:szCs w:val="30"/>
        </w:rPr>
        <w:t>遴选</w:t>
      </w:r>
    </w:p>
    <w:p>
      <w:pPr>
        <w:adjustRightInd w:val="0"/>
        <w:snapToGrid w:val="0"/>
        <w:spacing w:line="360" w:lineRule="auto"/>
        <w:ind w:firstLine="602" w:firstLineChars="200"/>
        <w:rPr>
          <w:rFonts w:ascii="仿宋" w:hAnsi="仿宋" w:eastAsia="仿宋"/>
          <w:sz w:val="30"/>
          <w:szCs w:val="30"/>
        </w:rPr>
      </w:pPr>
      <w:r>
        <w:rPr>
          <w:rFonts w:hint="eastAsia" w:ascii="仿宋" w:hAnsi="仿宋" w:eastAsia="仿宋"/>
          <w:b/>
          <w:sz w:val="30"/>
          <w:szCs w:val="30"/>
        </w:rPr>
        <w:t>第四条</w:t>
      </w:r>
      <w:r>
        <w:rPr>
          <w:rFonts w:ascii="仿宋" w:hAnsi="仿宋" w:eastAsia="仿宋"/>
          <w:sz w:val="30"/>
          <w:szCs w:val="30"/>
        </w:rPr>
        <w:t xml:space="preserve"> </w:t>
      </w:r>
      <w:r>
        <w:rPr>
          <w:rFonts w:hint="eastAsia" w:ascii="仿宋" w:hAnsi="仿宋" w:eastAsia="仿宋"/>
          <w:sz w:val="30"/>
          <w:szCs w:val="30"/>
        </w:rPr>
        <w:t>标准的制定。学校和培养单位根据不同专业学位类别的特点和培养目标定位，紧紧围绕行业和区域人才需求，分类制定基地遴选与建设标准，建立一批满足人才培养需求的规范化基地。</w:t>
      </w:r>
    </w:p>
    <w:p>
      <w:pPr>
        <w:adjustRightInd w:val="0"/>
        <w:snapToGrid w:val="0"/>
        <w:spacing w:line="360" w:lineRule="auto"/>
        <w:ind w:firstLine="602" w:firstLineChars="200"/>
        <w:rPr>
          <w:rFonts w:ascii="仿宋" w:hAnsi="仿宋" w:eastAsia="仿宋"/>
          <w:sz w:val="30"/>
          <w:szCs w:val="30"/>
        </w:rPr>
      </w:pPr>
      <w:r>
        <w:rPr>
          <w:rFonts w:hint="eastAsia" w:ascii="仿宋" w:hAnsi="仿宋" w:eastAsia="仿宋"/>
          <w:b/>
          <w:sz w:val="30"/>
          <w:szCs w:val="30"/>
        </w:rPr>
        <w:t xml:space="preserve">第五条 </w:t>
      </w:r>
      <w:r>
        <w:rPr>
          <w:rFonts w:hint="eastAsia" w:ascii="仿宋" w:hAnsi="仿宋" w:eastAsia="仿宋"/>
          <w:bCs/>
          <w:sz w:val="30"/>
          <w:szCs w:val="30"/>
        </w:rPr>
        <w:t>实践基地的基本要求。</w:t>
      </w:r>
      <w:r>
        <w:rPr>
          <w:rFonts w:hint="eastAsia" w:ascii="仿宋" w:hAnsi="仿宋" w:eastAsia="仿宋"/>
          <w:sz w:val="30"/>
          <w:szCs w:val="30"/>
        </w:rPr>
        <w:t>实践基地尽量建在交通便利、基础条件好、与专业培养契合度高、具有长期稳定合作培养研究生和拓展合作范围潜力的城市及合理的区域范围内。</w:t>
      </w:r>
    </w:p>
    <w:p>
      <w:pPr>
        <w:adjustRightInd w:val="0"/>
        <w:snapToGrid w:val="0"/>
        <w:spacing w:line="360" w:lineRule="auto"/>
        <w:ind w:firstLine="602" w:firstLineChars="200"/>
        <w:rPr>
          <w:rFonts w:ascii="仿宋" w:hAnsi="仿宋" w:eastAsia="仿宋"/>
          <w:sz w:val="30"/>
          <w:szCs w:val="30"/>
        </w:rPr>
      </w:pPr>
      <w:r>
        <w:rPr>
          <w:rFonts w:hint="eastAsia" w:ascii="仿宋" w:hAnsi="仿宋" w:eastAsia="仿宋"/>
          <w:b/>
          <w:sz w:val="30"/>
          <w:szCs w:val="30"/>
        </w:rPr>
        <w:t>第六条</w:t>
      </w:r>
      <w:r>
        <w:rPr>
          <w:rFonts w:ascii="仿宋" w:hAnsi="仿宋" w:eastAsia="仿宋"/>
          <w:sz w:val="30"/>
          <w:szCs w:val="30"/>
        </w:rPr>
        <w:t xml:space="preserve"> </w:t>
      </w:r>
      <w:r>
        <w:rPr>
          <w:rFonts w:hint="eastAsia" w:ascii="仿宋" w:hAnsi="仿宋" w:eastAsia="仿宋"/>
          <w:sz w:val="30"/>
          <w:szCs w:val="30"/>
        </w:rPr>
        <w:t>实践基地应具备的条件：</w:t>
      </w:r>
    </w:p>
    <w:p>
      <w:pPr>
        <w:adjustRightInd w:val="0"/>
        <w:snapToGrid w:val="0"/>
        <w:spacing w:line="360" w:lineRule="auto"/>
        <w:ind w:firstLine="600" w:firstLineChars="200"/>
        <w:rPr>
          <w:rFonts w:ascii="仿宋" w:hAnsi="仿宋" w:eastAsia="仿宋"/>
          <w:sz w:val="30"/>
          <w:szCs w:val="30"/>
        </w:rPr>
      </w:pPr>
      <w:r>
        <w:rPr>
          <w:rFonts w:hint="eastAsia" w:ascii="仿宋" w:hAnsi="仿宋" w:eastAsia="仿宋"/>
          <w:sz w:val="30"/>
          <w:szCs w:val="30"/>
        </w:rPr>
        <w:t>（一）具有独立法人资格的单位（企事业单位、民办单位或政府机关等）。</w:t>
      </w:r>
    </w:p>
    <w:p>
      <w:pPr>
        <w:adjustRightInd w:val="0"/>
        <w:snapToGrid w:val="0"/>
        <w:spacing w:line="360" w:lineRule="auto"/>
        <w:ind w:firstLine="600" w:firstLineChars="200"/>
        <w:rPr>
          <w:rFonts w:ascii="仿宋" w:hAnsi="仿宋" w:eastAsia="仿宋"/>
          <w:sz w:val="30"/>
          <w:szCs w:val="30"/>
        </w:rPr>
      </w:pPr>
      <w:r>
        <w:rPr>
          <w:rFonts w:hint="eastAsia" w:ascii="仿宋" w:hAnsi="仿宋" w:eastAsia="仿宋"/>
          <w:sz w:val="30"/>
          <w:szCs w:val="30"/>
        </w:rPr>
        <w:t>（二）主要业务能够满足专业学位研究生开展专业实践及实践教学的要求，具备研究生生活、学习、工作所需的基本条件，具有劳动保护、卫生安全保障，并能够承载一定规模的专业学位研究生开展专业实践。</w:t>
      </w:r>
    </w:p>
    <w:p>
      <w:pPr>
        <w:adjustRightInd w:val="0"/>
        <w:snapToGrid w:val="0"/>
        <w:spacing w:line="360" w:lineRule="auto"/>
        <w:ind w:firstLine="600" w:firstLineChars="200"/>
        <w:rPr>
          <w:rFonts w:ascii="仿宋" w:hAnsi="仿宋" w:eastAsia="仿宋"/>
          <w:sz w:val="30"/>
          <w:szCs w:val="30"/>
        </w:rPr>
      </w:pPr>
      <w:r>
        <w:rPr>
          <w:rFonts w:hint="eastAsia" w:ascii="仿宋" w:hAnsi="仿宋" w:eastAsia="仿宋"/>
          <w:sz w:val="30"/>
          <w:szCs w:val="30"/>
        </w:rPr>
        <w:t>（三）在行业内具有代表性或较高的业务水准，与专业学位类别/领域研究生就业方向对口，能认同我校专业学位研究生教育理念，重视基地建设，制定相关管理制度并实施有效管理。</w:t>
      </w:r>
    </w:p>
    <w:p>
      <w:pPr>
        <w:adjustRightInd w:val="0"/>
        <w:snapToGrid w:val="0"/>
        <w:spacing w:line="360" w:lineRule="auto"/>
        <w:ind w:firstLine="600" w:firstLineChars="200"/>
        <w:rPr>
          <w:rFonts w:ascii="仿宋" w:hAnsi="仿宋" w:eastAsia="仿宋"/>
          <w:sz w:val="30"/>
          <w:szCs w:val="30"/>
        </w:rPr>
      </w:pPr>
      <w:r>
        <w:rPr>
          <w:rFonts w:hint="eastAsia" w:ascii="仿宋" w:hAnsi="仿宋" w:eastAsia="仿宋"/>
          <w:sz w:val="30"/>
          <w:szCs w:val="30"/>
        </w:rPr>
        <w:t>（四）有胜任课程教学、专业实习实践指导以及学位论文指导等工作的专业人员，且数量充足。</w:t>
      </w:r>
    </w:p>
    <w:p>
      <w:pPr>
        <w:adjustRightInd w:val="0"/>
        <w:snapToGrid w:val="0"/>
        <w:spacing w:line="360" w:lineRule="auto"/>
        <w:ind w:firstLine="600" w:firstLineChars="200"/>
        <w:rPr>
          <w:rFonts w:ascii="仿宋" w:hAnsi="仿宋" w:eastAsia="仿宋"/>
          <w:sz w:val="30"/>
          <w:szCs w:val="30"/>
        </w:rPr>
      </w:pPr>
      <w:r>
        <w:rPr>
          <w:rFonts w:hint="eastAsia" w:ascii="仿宋" w:hAnsi="仿宋" w:eastAsia="仿宋"/>
          <w:sz w:val="30"/>
          <w:szCs w:val="30"/>
        </w:rPr>
        <w:t>（五）能够稳定提供专业学位研究生专业实践必需的科研合作项目。</w:t>
      </w:r>
    </w:p>
    <w:p>
      <w:pPr>
        <w:adjustRightInd w:val="0"/>
        <w:snapToGrid w:val="0"/>
        <w:spacing w:line="360" w:lineRule="auto"/>
        <w:ind w:firstLine="602" w:firstLineChars="200"/>
        <w:rPr>
          <w:rFonts w:ascii="仿宋" w:hAnsi="仿宋" w:eastAsia="仿宋"/>
          <w:sz w:val="30"/>
          <w:szCs w:val="30"/>
        </w:rPr>
      </w:pPr>
      <w:r>
        <w:rPr>
          <w:rFonts w:hint="eastAsia" w:ascii="仿宋" w:hAnsi="仿宋" w:eastAsia="仿宋"/>
          <w:b/>
          <w:sz w:val="30"/>
          <w:szCs w:val="30"/>
        </w:rPr>
        <w:t>第七条</w:t>
      </w:r>
      <w:r>
        <w:rPr>
          <w:rFonts w:ascii="仿宋" w:hAnsi="仿宋" w:eastAsia="仿宋"/>
          <w:sz w:val="30"/>
          <w:szCs w:val="30"/>
        </w:rPr>
        <w:t xml:space="preserve"> </w:t>
      </w:r>
      <w:r>
        <w:rPr>
          <w:rFonts w:hint="eastAsia" w:ascii="仿宋" w:hAnsi="仿宋" w:eastAsia="仿宋"/>
          <w:sz w:val="30"/>
          <w:szCs w:val="30"/>
        </w:rPr>
        <w:t>实践基地遴选的步骤：</w:t>
      </w:r>
    </w:p>
    <w:p>
      <w:pPr>
        <w:adjustRightInd w:val="0"/>
        <w:snapToGrid w:val="0"/>
        <w:spacing w:line="360" w:lineRule="auto"/>
        <w:ind w:firstLine="600" w:firstLineChars="200"/>
        <w:rPr>
          <w:rFonts w:ascii="仿宋" w:hAnsi="仿宋" w:eastAsia="仿宋"/>
          <w:sz w:val="30"/>
          <w:szCs w:val="30"/>
        </w:rPr>
      </w:pPr>
      <w:r>
        <w:rPr>
          <w:rFonts w:hint="eastAsia" w:ascii="仿宋" w:hAnsi="仿宋" w:eastAsia="仿宋"/>
          <w:sz w:val="30"/>
          <w:szCs w:val="30"/>
        </w:rPr>
        <w:t>（一）规划论证。各培养单位根据实际需要和现有合作基础，制定实践基地建设规划，向学校提交相应的规划报告。规划报告的内容包括：实践基地的承载规模预测、实践基地的基本情况介绍、基地建设前期已合作情况、适用专业领域、负责的研究生培养单位、基地层次、建设时间进度等。</w:t>
      </w:r>
    </w:p>
    <w:p>
      <w:pPr>
        <w:adjustRightInd w:val="0"/>
        <w:snapToGrid w:val="0"/>
        <w:spacing w:line="360" w:lineRule="auto"/>
        <w:ind w:firstLine="600" w:firstLineChars="200"/>
        <w:rPr>
          <w:rFonts w:ascii="仿宋" w:hAnsi="仿宋" w:eastAsia="仿宋"/>
          <w:sz w:val="30"/>
          <w:szCs w:val="30"/>
        </w:rPr>
      </w:pPr>
      <w:r>
        <w:rPr>
          <w:rFonts w:hint="eastAsia" w:ascii="仿宋" w:hAnsi="仿宋" w:eastAsia="仿宋"/>
          <w:sz w:val="30"/>
          <w:szCs w:val="30"/>
        </w:rPr>
        <w:t>（二）初步协商。由各培养单位与实践基地进行初步协商与沟通，草拟共建实习实践基地意向协议，填报《赤峰学院专业学位研究生校级实践基地申报表》。</w:t>
      </w:r>
    </w:p>
    <w:p>
      <w:pPr>
        <w:adjustRightInd w:val="0"/>
        <w:snapToGrid w:val="0"/>
        <w:spacing w:line="360" w:lineRule="auto"/>
        <w:ind w:firstLine="600" w:firstLineChars="200"/>
        <w:rPr>
          <w:rFonts w:ascii="仿宋" w:hAnsi="仿宋" w:eastAsia="仿宋"/>
          <w:sz w:val="30"/>
          <w:szCs w:val="30"/>
        </w:rPr>
      </w:pPr>
      <w:r>
        <w:rPr>
          <w:rFonts w:hint="eastAsia" w:ascii="仿宋" w:hAnsi="仿宋" w:eastAsia="仿宋"/>
          <w:sz w:val="30"/>
          <w:szCs w:val="30"/>
        </w:rPr>
        <w:t>（三）实地考察。由研究生管理部门组织相关人员到实践基地进行必要的考察和进一步磋商。</w:t>
      </w:r>
    </w:p>
    <w:p>
      <w:pPr>
        <w:adjustRightInd w:val="0"/>
        <w:snapToGrid w:val="0"/>
        <w:spacing w:line="360" w:lineRule="auto"/>
        <w:ind w:firstLine="600" w:firstLineChars="200"/>
        <w:rPr>
          <w:rFonts w:ascii="仿宋" w:hAnsi="仿宋" w:eastAsia="仿宋"/>
          <w:sz w:val="30"/>
          <w:szCs w:val="30"/>
        </w:rPr>
      </w:pPr>
      <w:r>
        <w:rPr>
          <w:rFonts w:hint="eastAsia" w:ascii="仿宋" w:hAnsi="仿宋" w:eastAsia="仿宋"/>
          <w:sz w:val="30"/>
          <w:szCs w:val="30"/>
        </w:rPr>
        <w:t>（四）签订协议。根据实地考察和磋商结果拟订正式协议及其相关附件，按学校协议审签程序，经学校审批同意后，与实践基地签订共建实习实践基地协议书。协议书的主要内容包括乙方职责、甲方职责等，协议期一般为</w:t>
      </w:r>
      <w:r>
        <w:rPr>
          <w:rFonts w:ascii="仿宋" w:hAnsi="仿宋" w:eastAsia="仿宋"/>
          <w:sz w:val="30"/>
          <w:szCs w:val="30"/>
        </w:rPr>
        <w:t>3-</w:t>
      </w:r>
      <w:r>
        <w:rPr>
          <w:rFonts w:hint="eastAsia" w:ascii="仿宋" w:hAnsi="仿宋" w:eastAsia="仿宋"/>
          <w:sz w:val="30"/>
          <w:szCs w:val="30"/>
        </w:rPr>
        <w:t>5年</w:t>
      </w:r>
    </w:p>
    <w:p>
      <w:pPr>
        <w:adjustRightInd w:val="0"/>
        <w:snapToGrid w:val="0"/>
        <w:spacing w:line="360" w:lineRule="auto"/>
        <w:ind w:firstLine="600" w:firstLineChars="200"/>
        <w:rPr>
          <w:rFonts w:ascii="仿宋" w:hAnsi="仿宋" w:eastAsia="仿宋"/>
          <w:sz w:val="30"/>
          <w:szCs w:val="30"/>
        </w:rPr>
      </w:pPr>
      <w:r>
        <w:rPr>
          <w:rFonts w:hint="eastAsia" w:ascii="仿宋" w:hAnsi="仿宋" w:eastAsia="仿宋"/>
          <w:sz w:val="30"/>
          <w:szCs w:val="30"/>
        </w:rPr>
        <w:t>（五）挂牌设立。学校与实践基地签订合作协议后，向实践基地授予“赤峰学院硕士专业学位研究生实践基地”匾牌。</w:t>
      </w:r>
    </w:p>
    <w:p>
      <w:pPr>
        <w:adjustRightInd w:val="0"/>
        <w:snapToGrid w:val="0"/>
        <w:spacing w:line="360" w:lineRule="auto"/>
        <w:ind w:firstLine="600" w:firstLineChars="200"/>
        <w:rPr>
          <w:rFonts w:ascii="仿宋" w:hAnsi="仿宋" w:eastAsia="仿宋"/>
          <w:sz w:val="30"/>
          <w:szCs w:val="30"/>
        </w:rPr>
      </w:pPr>
      <w:r>
        <w:rPr>
          <w:rFonts w:hint="eastAsia" w:ascii="仿宋" w:hAnsi="仿宋" w:eastAsia="仿宋"/>
          <w:sz w:val="30"/>
          <w:szCs w:val="30"/>
        </w:rPr>
        <w:t>（六）信息服务。学校在校内公布正式成立的校级实践基地的相关信息，供各培养单位选择使用。</w:t>
      </w:r>
    </w:p>
    <w:p>
      <w:pPr>
        <w:adjustRightInd w:val="0"/>
        <w:snapToGrid w:val="0"/>
        <w:spacing w:line="360" w:lineRule="auto"/>
        <w:ind w:firstLine="600" w:firstLineChars="200"/>
        <w:rPr>
          <w:rFonts w:ascii="仿宋" w:hAnsi="仿宋" w:eastAsia="仿宋"/>
          <w:sz w:val="30"/>
          <w:szCs w:val="30"/>
        </w:rPr>
      </w:pPr>
      <w:r>
        <w:rPr>
          <w:rFonts w:hint="eastAsia" w:ascii="仿宋" w:hAnsi="仿宋" w:eastAsia="仿宋"/>
          <w:bCs/>
          <w:sz w:val="30"/>
          <w:szCs w:val="30"/>
        </w:rPr>
        <w:t>（七）</w:t>
      </w:r>
      <w:r>
        <w:rPr>
          <w:rFonts w:hint="eastAsia" w:ascii="仿宋" w:hAnsi="仿宋" w:eastAsia="仿宋"/>
          <w:sz w:val="30"/>
          <w:szCs w:val="30"/>
        </w:rPr>
        <w:t>协议的续签与终止。对协议到期的实践基地，双方根据实际需要和合作成效，经相关审批手续，可续签协议；未续签者自动终止合作和取消相应基地资格。</w:t>
      </w:r>
    </w:p>
    <w:p>
      <w:pPr>
        <w:adjustRightInd w:val="0"/>
        <w:snapToGrid w:val="0"/>
        <w:spacing w:before="156" w:beforeLines="50" w:after="156" w:afterLines="50"/>
        <w:ind w:firstLine="602" w:firstLineChars="200"/>
        <w:jc w:val="center"/>
        <w:rPr>
          <w:rFonts w:ascii="仿宋" w:hAnsi="仿宋" w:eastAsia="仿宋"/>
          <w:b/>
          <w:sz w:val="30"/>
          <w:szCs w:val="30"/>
        </w:rPr>
      </w:pPr>
      <w:r>
        <w:rPr>
          <w:rFonts w:hint="eastAsia" w:ascii="仿宋" w:hAnsi="仿宋" w:eastAsia="仿宋"/>
          <w:b/>
          <w:sz w:val="30"/>
          <w:szCs w:val="30"/>
        </w:rPr>
        <w:t>第三章</w:t>
      </w:r>
      <w:r>
        <w:rPr>
          <w:rFonts w:ascii="仿宋" w:hAnsi="仿宋" w:eastAsia="仿宋"/>
          <w:b/>
          <w:sz w:val="30"/>
          <w:szCs w:val="30"/>
        </w:rPr>
        <w:t xml:space="preserve">  </w:t>
      </w:r>
      <w:r>
        <w:rPr>
          <w:rFonts w:hint="eastAsia" w:ascii="仿宋" w:hAnsi="仿宋" w:eastAsia="仿宋"/>
          <w:b/>
          <w:sz w:val="30"/>
          <w:szCs w:val="30"/>
        </w:rPr>
        <w:t>实践基地的管理</w:t>
      </w:r>
    </w:p>
    <w:p>
      <w:pPr>
        <w:adjustRightInd w:val="0"/>
        <w:snapToGrid w:val="0"/>
        <w:spacing w:line="360" w:lineRule="auto"/>
        <w:ind w:firstLine="602" w:firstLineChars="200"/>
        <w:rPr>
          <w:rFonts w:ascii="仿宋" w:hAnsi="仿宋" w:eastAsia="仿宋"/>
          <w:sz w:val="30"/>
          <w:szCs w:val="30"/>
        </w:rPr>
      </w:pPr>
      <w:r>
        <w:rPr>
          <w:rFonts w:hint="eastAsia" w:ascii="仿宋" w:hAnsi="仿宋" w:eastAsia="仿宋"/>
          <w:b/>
          <w:sz w:val="30"/>
          <w:szCs w:val="30"/>
        </w:rPr>
        <w:t>第八条</w:t>
      </w:r>
      <w:r>
        <w:rPr>
          <w:rFonts w:hint="eastAsia" w:ascii="仿宋" w:hAnsi="仿宋" w:eastAsia="仿宋"/>
          <w:sz w:val="30"/>
          <w:szCs w:val="30"/>
        </w:rPr>
        <w:t xml:space="preserve"> 管理机构。学校成立研究生实践基地管理工作领导小组（以下简称校级领导小组），由学校主要领导、相关部门和各培养单位的负责人共同组成。校级领导小组下设办公室（以下简称基地办公室），办公室设在研究生管理部门。各培养单位设立研究生实践基地管理工作领导小组（以下简称院级领导小组）。</w:t>
      </w:r>
    </w:p>
    <w:p>
      <w:pPr>
        <w:adjustRightInd w:val="0"/>
        <w:snapToGrid w:val="0"/>
        <w:spacing w:line="360" w:lineRule="auto"/>
        <w:ind w:firstLine="602" w:firstLineChars="200"/>
        <w:rPr>
          <w:rFonts w:ascii="仿宋" w:hAnsi="仿宋" w:eastAsia="仿宋"/>
          <w:sz w:val="30"/>
          <w:szCs w:val="30"/>
        </w:rPr>
      </w:pPr>
      <w:r>
        <w:rPr>
          <w:rFonts w:hint="eastAsia" w:ascii="仿宋" w:hAnsi="仿宋" w:eastAsia="仿宋"/>
          <w:b/>
          <w:sz w:val="30"/>
          <w:szCs w:val="30"/>
        </w:rPr>
        <w:t>第九条</w:t>
      </w:r>
      <w:r>
        <w:rPr>
          <w:rFonts w:hint="eastAsia" w:ascii="仿宋" w:hAnsi="宋体" w:eastAsia="仿宋"/>
          <w:sz w:val="30"/>
          <w:szCs w:val="30"/>
        </w:rPr>
        <w:t xml:space="preserve"> 学校机构的职责。</w:t>
      </w:r>
      <w:r>
        <w:rPr>
          <w:rFonts w:hint="eastAsia" w:ascii="仿宋" w:hAnsi="仿宋" w:eastAsia="仿宋"/>
          <w:sz w:val="30"/>
          <w:szCs w:val="30"/>
        </w:rPr>
        <w:t>校级领导小组主要科学谋划基地建设管理工作，解决基地建设、发展、运行中的重大问题。</w:t>
      </w:r>
    </w:p>
    <w:p>
      <w:pPr>
        <w:adjustRightInd w:val="0"/>
        <w:snapToGrid w:val="0"/>
        <w:spacing w:line="360" w:lineRule="auto"/>
        <w:ind w:firstLine="600" w:firstLineChars="200"/>
        <w:rPr>
          <w:rFonts w:ascii="仿宋" w:hAnsi="仿宋" w:eastAsia="仿宋"/>
          <w:sz w:val="30"/>
          <w:szCs w:val="30"/>
        </w:rPr>
      </w:pPr>
      <w:r>
        <w:rPr>
          <w:rFonts w:hint="eastAsia" w:ascii="仿宋" w:hAnsi="仿宋" w:eastAsia="仿宋"/>
          <w:sz w:val="30"/>
          <w:szCs w:val="30"/>
        </w:rPr>
        <w:t>基地办公室的职责：是实践基地开展日常工作的组织机构，执行校级领导小组的各项决定；组织校级实习实践基地的申请、评选，省级及以上实习实践基地（工作站）的申报；对校级及以上实践基地的建设情况进行监督检查；统筹管理学校实践基地，协调与指导相关单位的工作。</w:t>
      </w:r>
    </w:p>
    <w:p>
      <w:pPr>
        <w:adjustRightInd w:val="0"/>
        <w:snapToGrid w:val="0"/>
        <w:spacing w:line="360" w:lineRule="auto"/>
        <w:ind w:firstLine="602" w:firstLineChars="200"/>
        <w:rPr>
          <w:rFonts w:ascii="仿宋" w:hAnsi="仿宋" w:eastAsia="仿宋"/>
          <w:sz w:val="30"/>
          <w:szCs w:val="30"/>
        </w:rPr>
      </w:pPr>
      <w:r>
        <w:rPr>
          <w:rFonts w:hint="eastAsia" w:ascii="仿宋" w:hAnsi="仿宋" w:eastAsia="仿宋"/>
          <w:b/>
          <w:sz w:val="30"/>
          <w:szCs w:val="30"/>
        </w:rPr>
        <w:t>第十条</w:t>
      </w:r>
      <w:r>
        <w:rPr>
          <w:rFonts w:ascii="仿宋" w:hAnsi="宋体" w:eastAsia="仿宋"/>
          <w:sz w:val="30"/>
          <w:szCs w:val="30"/>
        </w:rPr>
        <w:t> </w:t>
      </w:r>
      <w:r>
        <w:rPr>
          <w:rFonts w:hint="eastAsia" w:ascii="仿宋" w:hAnsi="宋体" w:eastAsia="仿宋"/>
          <w:sz w:val="30"/>
          <w:szCs w:val="30"/>
        </w:rPr>
        <w:t>培养单位的职责。</w:t>
      </w:r>
      <w:r>
        <w:rPr>
          <w:rFonts w:hint="eastAsia" w:ascii="仿宋" w:hAnsi="仿宋" w:eastAsia="仿宋"/>
          <w:sz w:val="30"/>
          <w:szCs w:val="30"/>
        </w:rPr>
        <w:t>安排专人开展基地建设工作；组织研究生进入基地开展实习实践；加强与研究生管理部门、实践基地及导师的联系，对研究生实践情况进行监督管理；优化资源配置，加强实践基地建设；负责基地导师遴选、培训、聘任、考核与管理工作。</w:t>
      </w:r>
    </w:p>
    <w:p>
      <w:pPr>
        <w:adjustRightInd w:val="0"/>
        <w:snapToGrid w:val="0"/>
        <w:spacing w:line="360" w:lineRule="auto"/>
        <w:ind w:firstLine="602" w:firstLineChars="200"/>
        <w:rPr>
          <w:rFonts w:ascii="仿宋" w:hAnsi="仿宋" w:eastAsia="仿宋"/>
          <w:sz w:val="30"/>
          <w:szCs w:val="30"/>
        </w:rPr>
      </w:pPr>
      <w:r>
        <w:rPr>
          <w:rFonts w:hint="eastAsia" w:ascii="仿宋" w:hAnsi="仿宋" w:eastAsia="仿宋"/>
          <w:b/>
          <w:sz w:val="30"/>
          <w:szCs w:val="30"/>
        </w:rPr>
        <w:t>第十一条</w:t>
      </w:r>
      <w:r>
        <w:rPr>
          <w:rFonts w:hint="eastAsia" w:ascii="仿宋" w:hAnsi="仿宋" w:eastAsia="仿宋"/>
          <w:sz w:val="30"/>
          <w:szCs w:val="30"/>
        </w:rPr>
        <w:t xml:space="preserve"> 实践基地的职责。安排专人负责研究生实习实践工作；为实习学生提供学习、生活、工作条件保障；负责基地导师队伍建设，推荐选派骨干专家指导实习实践；安排充足的经费用于基地的建设发展；加强与学校的联系，组织基地导师与校内导师共同指导学生实践。</w:t>
      </w:r>
    </w:p>
    <w:p>
      <w:pPr>
        <w:adjustRightInd w:val="0"/>
        <w:snapToGrid w:val="0"/>
        <w:spacing w:line="360" w:lineRule="auto"/>
        <w:ind w:firstLine="602" w:firstLineChars="200"/>
        <w:rPr>
          <w:rFonts w:ascii="仿宋" w:hAnsi="仿宋" w:eastAsia="仿宋"/>
          <w:sz w:val="30"/>
          <w:szCs w:val="30"/>
        </w:rPr>
      </w:pPr>
      <w:r>
        <w:rPr>
          <w:rFonts w:hint="eastAsia" w:ascii="仿宋" w:hAnsi="仿宋" w:eastAsia="仿宋"/>
          <w:b/>
          <w:sz w:val="30"/>
          <w:szCs w:val="30"/>
        </w:rPr>
        <w:t>第十二条</w:t>
      </w:r>
      <w:r>
        <w:rPr>
          <w:rFonts w:ascii="仿宋" w:hAnsi="仿宋" w:eastAsia="仿宋"/>
          <w:sz w:val="30"/>
          <w:szCs w:val="30"/>
        </w:rPr>
        <w:t xml:space="preserve"> </w:t>
      </w:r>
      <w:r>
        <w:rPr>
          <w:rFonts w:hint="eastAsia" w:ascii="仿宋" w:hAnsi="仿宋" w:eastAsia="仿宋"/>
          <w:sz w:val="30"/>
          <w:szCs w:val="30"/>
        </w:rPr>
        <w:t>评估检查。学校对实践基地定期开展评估，重点考核基地人才培养的实际效果，各培养单位组织填报实践基地建设自查评估报告，研究生管理部门将组织专家复查评估。对于评估结果为优秀的实践基地进行奖励，并优先推荐为自治区级实践基地。对于评估结果为不合格的实践基地限期整改，若整改后仍达不到合格条件的，双方共建实习基地协议期满，学校不予续签新的协议。</w:t>
      </w:r>
    </w:p>
    <w:p>
      <w:pPr>
        <w:adjustRightInd w:val="0"/>
        <w:snapToGrid w:val="0"/>
        <w:spacing w:before="156" w:beforeLines="50" w:after="156" w:afterLines="50"/>
        <w:ind w:firstLine="602" w:firstLineChars="200"/>
        <w:jc w:val="center"/>
        <w:rPr>
          <w:rFonts w:ascii="仿宋" w:hAnsi="仿宋" w:eastAsia="仿宋"/>
          <w:b/>
          <w:sz w:val="30"/>
          <w:szCs w:val="30"/>
        </w:rPr>
      </w:pPr>
      <w:r>
        <w:rPr>
          <w:rFonts w:hint="eastAsia" w:ascii="仿宋" w:hAnsi="仿宋" w:eastAsia="仿宋"/>
          <w:b/>
          <w:sz w:val="30"/>
          <w:szCs w:val="30"/>
        </w:rPr>
        <w:t>第四章</w:t>
      </w:r>
      <w:r>
        <w:rPr>
          <w:rFonts w:ascii="仿宋" w:hAnsi="仿宋" w:eastAsia="仿宋"/>
          <w:b/>
          <w:sz w:val="30"/>
          <w:szCs w:val="30"/>
        </w:rPr>
        <w:t xml:space="preserve"> </w:t>
      </w:r>
      <w:r>
        <w:rPr>
          <w:rFonts w:hint="eastAsia" w:ascii="仿宋" w:hAnsi="仿宋" w:eastAsia="仿宋"/>
          <w:b/>
          <w:sz w:val="30"/>
          <w:szCs w:val="30"/>
        </w:rPr>
        <w:t>实践经费的管理</w:t>
      </w:r>
    </w:p>
    <w:p>
      <w:pPr>
        <w:adjustRightInd w:val="0"/>
        <w:snapToGrid w:val="0"/>
        <w:spacing w:line="360" w:lineRule="auto"/>
        <w:ind w:firstLine="602" w:firstLineChars="200"/>
        <w:rPr>
          <w:rFonts w:ascii="仿宋" w:hAnsi="仿宋" w:eastAsia="仿宋"/>
          <w:sz w:val="30"/>
          <w:szCs w:val="30"/>
        </w:rPr>
      </w:pPr>
      <w:r>
        <w:rPr>
          <w:rFonts w:hint="eastAsia" w:ascii="仿宋" w:hAnsi="仿宋" w:eastAsia="仿宋"/>
          <w:b/>
          <w:sz w:val="30"/>
          <w:szCs w:val="30"/>
        </w:rPr>
        <w:t>第十三条</w:t>
      </w:r>
      <w:r>
        <w:rPr>
          <w:rFonts w:hint="eastAsia" w:ascii="仿宋" w:hAnsi="仿宋" w:eastAsia="仿宋"/>
          <w:sz w:val="30"/>
          <w:szCs w:val="30"/>
        </w:rPr>
        <w:t xml:space="preserve"> 经费额度。学校在年度预算中列支校级实践基地建设费用。其中条件建设经费每个基地一般一次性支付1-5万元，按协议书中条件建设方案所明确的额度和进度实施；合作方管理费、指导费以实际参加专业实践的研究生人数一般按100-500元/人/月（以具体协议为准）计算，于派出研究生后两周内划拨给实践基地。</w:t>
      </w:r>
    </w:p>
    <w:p>
      <w:pPr>
        <w:adjustRightInd w:val="0"/>
        <w:snapToGrid w:val="0"/>
        <w:spacing w:line="360" w:lineRule="auto"/>
        <w:ind w:firstLine="602" w:firstLineChars="200"/>
        <w:rPr>
          <w:rFonts w:ascii="仿宋" w:hAnsi="仿宋" w:eastAsia="仿宋"/>
          <w:sz w:val="30"/>
          <w:szCs w:val="30"/>
        </w:rPr>
      </w:pPr>
      <w:r>
        <w:rPr>
          <w:rFonts w:hint="eastAsia" w:ascii="仿宋" w:hAnsi="仿宋" w:eastAsia="仿宋"/>
          <w:b/>
          <w:sz w:val="30"/>
          <w:szCs w:val="30"/>
        </w:rPr>
        <w:t>第十四条</w:t>
      </w:r>
      <w:r>
        <w:rPr>
          <w:rFonts w:hint="eastAsia" w:ascii="仿宋" w:hAnsi="仿宋" w:eastAsia="仿宋"/>
          <w:sz w:val="30"/>
          <w:szCs w:val="30"/>
        </w:rPr>
        <w:t xml:space="preserve">  基地导师指导费用。实践基地导师指导研究生实践的相关费用在协议书中应有明确规定，以实际指导学生数计算，并如期划拨。</w:t>
      </w:r>
    </w:p>
    <w:p>
      <w:pPr>
        <w:adjustRightInd w:val="0"/>
        <w:snapToGrid w:val="0"/>
        <w:spacing w:line="360" w:lineRule="auto"/>
        <w:ind w:firstLine="602" w:firstLineChars="200"/>
        <w:rPr>
          <w:rFonts w:ascii="仿宋" w:hAnsi="仿宋" w:eastAsia="仿宋"/>
          <w:sz w:val="30"/>
          <w:szCs w:val="30"/>
        </w:rPr>
      </w:pPr>
      <w:r>
        <w:rPr>
          <w:rFonts w:hint="eastAsia" w:ascii="仿宋" w:hAnsi="仿宋" w:eastAsia="仿宋"/>
          <w:b/>
          <w:sz w:val="30"/>
          <w:szCs w:val="30"/>
        </w:rPr>
        <w:t>第十五条</w:t>
      </w:r>
      <w:r>
        <w:rPr>
          <w:rFonts w:hint="eastAsia" w:ascii="仿宋" w:hAnsi="仿宋" w:eastAsia="仿宋"/>
          <w:sz w:val="30"/>
          <w:szCs w:val="30"/>
        </w:rPr>
        <w:t xml:space="preserve">  经费使用要求。经费的使用严格按照上级及学校相关财务规定执行，专款专用，不得用于与实习实践基地建设无关的开支。一旦发现有违规使用，将停止剩余经费的下拨并追究有关人员责任。</w:t>
      </w:r>
    </w:p>
    <w:p>
      <w:pPr>
        <w:adjustRightInd w:val="0"/>
        <w:snapToGrid w:val="0"/>
        <w:spacing w:before="156" w:beforeLines="50" w:after="156" w:afterLines="50"/>
        <w:ind w:firstLine="602" w:firstLineChars="200"/>
        <w:jc w:val="center"/>
        <w:rPr>
          <w:rFonts w:ascii="仿宋" w:hAnsi="仿宋" w:eastAsia="仿宋"/>
          <w:b/>
          <w:sz w:val="30"/>
          <w:szCs w:val="30"/>
        </w:rPr>
      </w:pPr>
      <w:r>
        <w:rPr>
          <w:rFonts w:hint="eastAsia" w:ascii="仿宋" w:hAnsi="仿宋" w:eastAsia="仿宋"/>
          <w:b/>
          <w:sz w:val="30"/>
          <w:szCs w:val="30"/>
        </w:rPr>
        <w:t>第五章</w:t>
      </w:r>
      <w:r>
        <w:rPr>
          <w:rFonts w:ascii="仿宋" w:hAnsi="仿宋" w:eastAsia="仿宋"/>
          <w:b/>
          <w:sz w:val="30"/>
          <w:szCs w:val="30"/>
        </w:rPr>
        <w:t xml:space="preserve">  </w:t>
      </w:r>
      <w:r>
        <w:rPr>
          <w:rFonts w:hint="eastAsia" w:ascii="仿宋" w:hAnsi="仿宋" w:eastAsia="仿宋"/>
          <w:b/>
          <w:sz w:val="30"/>
          <w:szCs w:val="30"/>
        </w:rPr>
        <w:t>附</w:t>
      </w:r>
      <w:r>
        <w:rPr>
          <w:rFonts w:ascii="仿宋" w:hAnsi="仿宋" w:eastAsia="仿宋"/>
          <w:b/>
          <w:sz w:val="30"/>
          <w:szCs w:val="30"/>
        </w:rPr>
        <w:t xml:space="preserve">  </w:t>
      </w:r>
      <w:r>
        <w:rPr>
          <w:rFonts w:hint="eastAsia" w:ascii="仿宋" w:hAnsi="仿宋" w:eastAsia="仿宋"/>
          <w:b/>
          <w:sz w:val="30"/>
          <w:szCs w:val="30"/>
        </w:rPr>
        <w:t>则</w:t>
      </w:r>
    </w:p>
    <w:p>
      <w:pPr>
        <w:adjustRightInd w:val="0"/>
        <w:snapToGrid w:val="0"/>
        <w:spacing w:line="360" w:lineRule="auto"/>
        <w:ind w:firstLine="602" w:firstLineChars="200"/>
        <w:rPr>
          <w:rFonts w:ascii="仿宋" w:hAnsi="仿宋" w:eastAsia="仿宋"/>
          <w:sz w:val="30"/>
          <w:szCs w:val="30"/>
        </w:rPr>
      </w:pPr>
      <w:r>
        <w:rPr>
          <w:rFonts w:hint="eastAsia" w:ascii="仿宋" w:hAnsi="仿宋" w:eastAsia="仿宋"/>
          <w:b/>
          <w:sz w:val="30"/>
          <w:szCs w:val="30"/>
        </w:rPr>
        <w:t>第十六条</w:t>
      </w:r>
      <w:r>
        <w:rPr>
          <w:rFonts w:ascii="仿宋" w:hAnsi="仿宋" w:eastAsia="仿宋"/>
          <w:sz w:val="30"/>
          <w:szCs w:val="30"/>
        </w:rPr>
        <w:t xml:space="preserve">  </w:t>
      </w:r>
      <w:r>
        <w:rPr>
          <w:rFonts w:hint="eastAsia" w:ascii="仿宋" w:hAnsi="仿宋" w:eastAsia="仿宋"/>
          <w:sz w:val="30"/>
          <w:szCs w:val="30"/>
        </w:rPr>
        <w:t>本办法自发布之日起实行，各培养单位应依据本办法制定实施细则，原《赤峰学院教育硕士专业学位研究生实践教学基地遴选办法》（赤院院字</w:t>
      </w:r>
      <w:r>
        <w:rPr>
          <w:rFonts w:ascii="仿宋" w:hAnsi="仿宋" w:eastAsia="仿宋"/>
          <w:sz w:val="30"/>
          <w:szCs w:val="30"/>
        </w:rPr>
        <w:t>[2019]27</w:t>
      </w:r>
      <w:r>
        <w:rPr>
          <w:rFonts w:hint="eastAsia" w:ascii="仿宋" w:hAnsi="仿宋" w:eastAsia="仿宋"/>
          <w:sz w:val="30"/>
          <w:szCs w:val="30"/>
        </w:rPr>
        <w:t>号）文件同时废止。</w:t>
      </w:r>
    </w:p>
    <w:p>
      <w:pPr>
        <w:adjustRightInd w:val="0"/>
        <w:snapToGrid w:val="0"/>
        <w:spacing w:line="360" w:lineRule="auto"/>
        <w:ind w:firstLine="602" w:firstLineChars="200"/>
        <w:rPr>
          <w:rFonts w:ascii="仿宋" w:hAnsi="仿宋" w:eastAsia="仿宋"/>
          <w:sz w:val="30"/>
          <w:szCs w:val="30"/>
        </w:rPr>
      </w:pPr>
      <w:r>
        <w:rPr>
          <w:rFonts w:hint="eastAsia" w:ascii="仿宋" w:hAnsi="仿宋" w:eastAsia="仿宋"/>
          <w:b/>
          <w:sz w:val="30"/>
          <w:szCs w:val="30"/>
        </w:rPr>
        <w:t>第十七条</w:t>
      </w:r>
      <w:r>
        <w:rPr>
          <w:rFonts w:ascii="仿宋" w:hAnsi="仿宋" w:eastAsia="仿宋"/>
          <w:sz w:val="30"/>
          <w:szCs w:val="30"/>
        </w:rPr>
        <w:t xml:space="preserve">  本办法由研究生</w:t>
      </w:r>
      <w:r>
        <w:rPr>
          <w:rFonts w:hint="eastAsia" w:ascii="仿宋" w:hAnsi="仿宋" w:eastAsia="仿宋"/>
          <w:sz w:val="30"/>
          <w:szCs w:val="30"/>
        </w:rPr>
        <w:t>管理部门负责解释。</w:t>
      </w:r>
    </w:p>
    <w:p>
      <w:pPr>
        <w:adjustRightInd w:val="0"/>
        <w:snapToGrid w:val="0"/>
        <w:spacing w:line="400" w:lineRule="exact"/>
        <w:rPr>
          <w:rFonts w:ascii="仿宋_GB2312" w:hAnsi="宋体" w:eastAsia="仿宋_GB2312"/>
          <w:sz w:val="24"/>
        </w:rPr>
      </w:pPr>
    </w:p>
    <w:p>
      <w:pPr>
        <w:adjustRightInd w:val="0"/>
        <w:snapToGrid w:val="0"/>
        <w:spacing w:line="400" w:lineRule="exact"/>
        <w:rPr>
          <w:rFonts w:ascii="仿宋_GB2312" w:hAnsi="宋体" w:eastAsia="仿宋_GB2312"/>
          <w:sz w:val="24"/>
        </w:rPr>
      </w:pPr>
    </w:p>
    <w:p>
      <w:pPr>
        <w:adjustRightInd w:val="0"/>
        <w:snapToGrid w:val="0"/>
        <w:spacing w:line="360" w:lineRule="auto"/>
        <w:ind w:firstLine="600" w:firstLineChars="200"/>
        <w:jc w:val="right"/>
        <w:rPr>
          <w:rFonts w:ascii="仿宋" w:hAnsi="仿宋" w:eastAsia="仿宋"/>
          <w:sz w:val="30"/>
          <w:szCs w:val="30"/>
        </w:rPr>
      </w:pPr>
      <w:r>
        <w:rPr>
          <w:rFonts w:ascii="仿宋" w:hAnsi="仿宋" w:eastAsia="仿宋"/>
          <w:sz w:val="30"/>
          <w:szCs w:val="30"/>
        </w:rPr>
        <w:t>赤峰学院</w:t>
      </w:r>
    </w:p>
    <w:p>
      <w:pPr>
        <w:adjustRightInd w:val="0"/>
        <w:snapToGrid w:val="0"/>
        <w:spacing w:line="360" w:lineRule="auto"/>
        <w:ind w:firstLine="600" w:firstLineChars="200"/>
        <w:jc w:val="right"/>
      </w:pPr>
      <w:r>
        <w:rPr>
          <w:rFonts w:hint="eastAsia" w:ascii="仿宋" w:hAnsi="仿宋" w:eastAsia="仿宋"/>
          <w:sz w:val="30"/>
          <w:szCs w:val="30"/>
        </w:rPr>
        <w:t>2021年11月</w:t>
      </w:r>
    </w:p>
    <w:sectPr>
      <w:pgSz w:w="11906" w:h="16838"/>
      <w:pgMar w:top="1440" w:right="1983"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000000000000000"/>
    <w:charset w:val="86"/>
    <w:family w:val="script"/>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69D2"/>
    <w:rsid w:val="00042A5E"/>
    <w:rsid w:val="000A7B55"/>
    <w:rsid w:val="000D152E"/>
    <w:rsid w:val="000D24EB"/>
    <w:rsid w:val="0013230C"/>
    <w:rsid w:val="00144435"/>
    <w:rsid w:val="00147AC4"/>
    <w:rsid w:val="001615AF"/>
    <w:rsid w:val="0016654D"/>
    <w:rsid w:val="00181D5D"/>
    <w:rsid w:val="00181FC4"/>
    <w:rsid w:val="002104F3"/>
    <w:rsid w:val="0022740B"/>
    <w:rsid w:val="0028284D"/>
    <w:rsid w:val="002837FE"/>
    <w:rsid w:val="002D27E0"/>
    <w:rsid w:val="00335993"/>
    <w:rsid w:val="00370A08"/>
    <w:rsid w:val="0038746A"/>
    <w:rsid w:val="003C06A1"/>
    <w:rsid w:val="003D00F5"/>
    <w:rsid w:val="00412CBA"/>
    <w:rsid w:val="00436563"/>
    <w:rsid w:val="00461957"/>
    <w:rsid w:val="00477006"/>
    <w:rsid w:val="004834DE"/>
    <w:rsid w:val="00514DDF"/>
    <w:rsid w:val="005179A4"/>
    <w:rsid w:val="0055794A"/>
    <w:rsid w:val="005B486D"/>
    <w:rsid w:val="005E11BE"/>
    <w:rsid w:val="00647F3B"/>
    <w:rsid w:val="0066357E"/>
    <w:rsid w:val="006728B9"/>
    <w:rsid w:val="00681C71"/>
    <w:rsid w:val="006869D2"/>
    <w:rsid w:val="00696AA0"/>
    <w:rsid w:val="006B0604"/>
    <w:rsid w:val="00714F43"/>
    <w:rsid w:val="0075128D"/>
    <w:rsid w:val="00817FF2"/>
    <w:rsid w:val="008422B5"/>
    <w:rsid w:val="008C491C"/>
    <w:rsid w:val="008C790D"/>
    <w:rsid w:val="009107E0"/>
    <w:rsid w:val="00936DFD"/>
    <w:rsid w:val="00964D92"/>
    <w:rsid w:val="009E0454"/>
    <w:rsid w:val="00A11059"/>
    <w:rsid w:val="00A24D53"/>
    <w:rsid w:val="00A34504"/>
    <w:rsid w:val="00A37B53"/>
    <w:rsid w:val="00A73415"/>
    <w:rsid w:val="00B1372F"/>
    <w:rsid w:val="00B250B5"/>
    <w:rsid w:val="00B26EB4"/>
    <w:rsid w:val="00B91B82"/>
    <w:rsid w:val="00BD5918"/>
    <w:rsid w:val="00C169AF"/>
    <w:rsid w:val="00C22FE4"/>
    <w:rsid w:val="00C26F0E"/>
    <w:rsid w:val="00C3344E"/>
    <w:rsid w:val="00C42049"/>
    <w:rsid w:val="00C43222"/>
    <w:rsid w:val="00C44E9E"/>
    <w:rsid w:val="00C62057"/>
    <w:rsid w:val="00C73016"/>
    <w:rsid w:val="00D05008"/>
    <w:rsid w:val="00D261B8"/>
    <w:rsid w:val="00D376DD"/>
    <w:rsid w:val="00D43F97"/>
    <w:rsid w:val="00D443C5"/>
    <w:rsid w:val="00D9636E"/>
    <w:rsid w:val="00DE4A1B"/>
    <w:rsid w:val="00E70CA4"/>
    <w:rsid w:val="00E84CA8"/>
    <w:rsid w:val="00EA69B8"/>
    <w:rsid w:val="00EB37F6"/>
    <w:rsid w:val="00F230F0"/>
    <w:rsid w:val="00F33C0B"/>
    <w:rsid w:val="00F50ECD"/>
    <w:rsid w:val="00F54D4D"/>
    <w:rsid w:val="00F623EC"/>
    <w:rsid w:val="00F95754"/>
    <w:rsid w:val="00FB5F2B"/>
    <w:rsid w:val="00FE7B51"/>
    <w:rsid w:val="091B6305"/>
    <w:rsid w:val="29FF494D"/>
    <w:rsid w:val="330578E0"/>
    <w:rsid w:val="42C14089"/>
    <w:rsid w:val="46C547BC"/>
    <w:rsid w:val="4BBC5BE1"/>
    <w:rsid w:val="55AA58C3"/>
    <w:rsid w:val="58B80B8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3"/>
    <w:basedOn w:val="1"/>
    <w:next w:val="1"/>
    <w:link w:val="16"/>
    <w:semiHidden/>
    <w:unhideWhenUsed/>
    <w:qFormat/>
    <w:uiPriority w:val="9"/>
    <w:pPr>
      <w:keepNext/>
      <w:keepLines/>
      <w:spacing w:before="260" w:after="260" w:line="416" w:lineRule="auto"/>
      <w:outlineLvl w:val="2"/>
    </w:pPr>
    <w:rPr>
      <w:rFonts w:ascii="Times New Roman" w:hAnsi="Times New Roman" w:eastAsia="宋体" w:cs="Times New Roman"/>
      <w:b/>
      <w:bCs/>
      <w:sz w:val="32"/>
      <w:szCs w:val="32"/>
    </w:rPr>
  </w:style>
  <w:style w:type="character" w:default="1" w:styleId="11">
    <w:name w:val="Default Paragraph Font"/>
    <w:semiHidden/>
    <w:unhideWhenUsed/>
    <w:qFormat/>
    <w:uiPriority w:val="1"/>
  </w:style>
  <w:style w:type="table" w:default="1" w:styleId="9">
    <w:name w:val="Normal Table"/>
    <w:autoRedefine/>
    <w:semiHidden/>
    <w:unhideWhenUsed/>
    <w:qFormat/>
    <w:uiPriority w:val="99"/>
    <w:tblPr>
      <w:tblCellMar>
        <w:top w:w="0" w:type="dxa"/>
        <w:left w:w="108" w:type="dxa"/>
        <w:bottom w:w="0" w:type="dxa"/>
        <w:right w:w="108" w:type="dxa"/>
      </w:tblCellMar>
    </w:tblPr>
  </w:style>
  <w:style w:type="paragraph" w:styleId="3">
    <w:name w:val="annotation text"/>
    <w:basedOn w:val="1"/>
    <w:link w:val="17"/>
    <w:autoRedefine/>
    <w:semiHidden/>
    <w:unhideWhenUsed/>
    <w:qFormat/>
    <w:uiPriority w:val="99"/>
    <w:pPr>
      <w:jc w:val="left"/>
    </w:pPr>
  </w:style>
  <w:style w:type="paragraph" w:styleId="4">
    <w:name w:val="Balloon Text"/>
    <w:basedOn w:val="1"/>
    <w:link w:val="19"/>
    <w:autoRedefine/>
    <w:semiHidden/>
    <w:unhideWhenUsed/>
    <w:qFormat/>
    <w:uiPriority w:val="99"/>
    <w:rPr>
      <w:sz w:val="18"/>
      <w:szCs w:val="18"/>
    </w:rPr>
  </w:style>
  <w:style w:type="paragraph" w:styleId="5">
    <w:name w:val="footer"/>
    <w:basedOn w:val="1"/>
    <w:link w:val="15"/>
    <w:autoRedefine/>
    <w:unhideWhenUsed/>
    <w:qFormat/>
    <w:uiPriority w:val="99"/>
    <w:pPr>
      <w:tabs>
        <w:tab w:val="center" w:pos="4153"/>
        <w:tab w:val="right" w:pos="8306"/>
      </w:tabs>
      <w:snapToGrid w:val="0"/>
      <w:jc w:val="left"/>
    </w:pPr>
    <w:rPr>
      <w:sz w:val="18"/>
      <w:szCs w:val="18"/>
    </w:rPr>
  </w:style>
  <w:style w:type="paragraph" w:styleId="6">
    <w:name w:val="header"/>
    <w:basedOn w:val="1"/>
    <w:link w:val="14"/>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autoRedefine/>
    <w:qFormat/>
    <w:uiPriority w:val="0"/>
    <w:pPr>
      <w:spacing w:beforeAutospacing="1" w:afterAutospacing="1"/>
      <w:jc w:val="left"/>
    </w:pPr>
    <w:rPr>
      <w:rFonts w:cs="Times New Roman"/>
      <w:kern w:val="0"/>
      <w:sz w:val="24"/>
      <w:szCs w:val="24"/>
    </w:rPr>
  </w:style>
  <w:style w:type="paragraph" w:styleId="8">
    <w:name w:val="annotation subject"/>
    <w:basedOn w:val="3"/>
    <w:next w:val="3"/>
    <w:link w:val="18"/>
    <w:autoRedefine/>
    <w:semiHidden/>
    <w:unhideWhenUsed/>
    <w:qFormat/>
    <w:uiPriority w:val="99"/>
    <w:rPr>
      <w:b/>
      <w:bCs/>
    </w:rPr>
  </w:style>
  <w:style w:type="table" w:styleId="10">
    <w:name w:val="Table Grid"/>
    <w:basedOn w:val="9"/>
    <w:autoRedefine/>
    <w:qFormat/>
    <w:uiPriority w:val="0"/>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Strong"/>
    <w:basedOn w:val="11"/>
    <w:autoRedefine/>
    <w:qFormat/>
    <w:uiPriority w:val="22"/>
    <w:rPr>
      <w:b/>
      <w:bCs/>
    </w:rPr>
  </w:style>
  <w:style w:type="character" w:styleId="13">
    <w:name w:val="annotation reference"/>
    <w:basedOn w:val="11"/>
    <w:autoRedefine/>
    <w:semiHidden/>
    <w:unhideWhenUsed/>
    <w:qFormat/>
    <w:uiPriority w:val="99"/>
    <w:rPr>
      <w:sz w:val="21"/>
      <w:szCs w:val="21"/>
    </w:rPr>
  </w:style>
  <w:style w:type="character" w:customStyle="1" w:styleId="14">
    <w:name w:val="页眉 字符"/>
    <w:basedOn w:val="11"/>
    <w:link w:val="6"/>
    <w:autoRedefine/>
    <w:qFormat/>
    <w:uiPriority w:val="99"/>
    <w:rPr>
      <w:sz w:val="18"/>
      <w:szCs w:val="18"/>
    </w:rPr>
  </w:style>
  <w:style w:type="character" w:customStyle="1" w:styleId="15">
    <w:name w:val="页脚 字符"/>
    <w:basedOn w:val="11"/>
    <w:link w:val="5"/>
    <w:autoRedefine/>
    <w:qFormat/>
    <w:uiPriority w:val="99"/>
    <w:rPr>
      <w:sz w:val="18"/>
      <w:szCs w:val="18"/>
    </w:rPr>
  </w:style>
  <w:style w:type="character" w:customStyle="1" w:styleId="16">
    <w:name w:val="标题 3 字符"/>
    <w:basedOn w:val="11"/>
    <w:link w:val="2"/>
    <w:autoRedefine/>
    <w:semiHidden/>
    <w:qFormat/>
    <w:uiPriority w:val="9"/>
    <w:rPr>
      <w:rFonts w:ascii="Times New Roman" w:hAnsi="Times New Roman" w:eastAsia="宋体" w:cs="Times New Roman"/>
      <w:b/>
      <w:bCs/>
      <w:sz w:val="32"/>
      <w:szCs w:val="32"/>
    </w:rPr>
  </w:style>
  <w:style w:type="character" w:customStyle="1" w:styleId="17">
    <w:name w:val="批注文字 字符"/>
    <w:basedOn w:val="11"/>
    <w:link w:val="3"/>
    <w:autoRedefine/>
    <w:semiHidden/>
    <w:qFormat/>
    <w:uiPriority w:val="99"/>
  </w:style>
  <w:style w:type="character" w:customStyle="1" w:styleId="18">
    <w:name w:val="批注主题 字符"/>
    <w:basedOn w:val="17"/>
    <w:link w:val="8"/>
    <w:autoRedefine/>
    <w:semiHidden/>
    <w:qFormat/>
    <w:uiPriority w:val="99"/>
    <w:rPr>
      <w:b/>
      <w:bCs/>
    </w:rPr>
  </w:style>
  <w:style w:type="character" w:customStyle="1" w:styleId="19">
    <w:name w:val="批注框文本 字符"/>
    <w:basedOn w:val="11"/>
    <w:link w:val="4"/>
    <w:autoRedefine/>
    <w:semiHidden/>
    <w:qFormat/>
    <w:uiPriority w:val="99"/>
    <w:rPr>
      <w:sz w:val="18"/>
      <w:szCs w:val="18"/>
    </w:rPr>
  </w:style>
  <w:style w:type="paragraph" w:customStyle="1" w:styleId="20">
    <w:name w:val="修订1"/>
    <w:autoRedefine/>
    <w:hidden/>
    <w:semiHidden/>
    <w:qFormat/>
    <w:uiPriority w:val="99"/>
    <w:rPr>
      <w:rFonts w:asciiTheme="minorHAnsi" w:hAnsiTheme="minorHAnsi" w:eastAsiaTheme="minorEastAsia" w:cstheme="minorBidi"/>
      <w:kern w:val="2"/>
      <w:sz w:val="21"/>
      <w:szCs w:val="22"/>
      <w:lang w:val="en-US" w:eastAsia="zh-CN" w:bidi="ar-SA"/>
    </w:rPr>
  </w:style>
  <w:style w:type="paragraph" w:styleId="21">
    <w:name w:val="No Spacing"/>
    <w:autoRedefine/>
    <w:qFormat/>
    <w:uiPriority w:val="1"/>
    <w:pPr>
      <w:widowControl w:val="0"/>
      <w:jc w:val="both"/>
    </w:pPr>
    <w:rPr>
      <w:rFonts w:asciiTheme="minorHAnsi" w:hAnsiTheme="minorHAnsi" w:eastAsiaTheme="minorEastAsia" w:cstheme="minorBidi"/>
      <w:kern w:val="2"/>
      <w:sz w:val="21"/>
      <w:szCs w:val="22"/>
      <w:lang w:val="en-US" w:eastAsia="zh-CN" w:bidi="ar-SA"/>
    </w:rPr>
  </w:style>
  <w:style w:type="paragraph" w:customStyle="1" w:styleId="22">
    <w:name w:val="p0"/>
    <w:basedOn w:val="1"/>
    <w:autoRedefine/>
    <w:qFormat/>
    <w:uiPriority w:val="0"/>
    <w:pPr>
      <w:widowControl/>
      <w:spacing w:before="100" w:beforeAutospacing="1" w:after="100" w:afterAutospacing="1"/>
      <w:jc w:val="left"/>
    </w:pPr>
    <w:rPr>
      <w:rFonts w:ascii="宋体" w:hAnsi="宋体" w:eastAsia="宋体" w:cs="宋体"/>
      <w:kern w:val="0"/>
      <w:sz w:val="24"/>
      <w:szCs w:val="24"/>
    </w:rPr>
  </w:style>
  <w:style w:type="character" w:customStyle="1" w:styleId="23">
    <w:name w:val="16"/>
    <w:basedOn w:val="11"/>
    <w:autoRedefine/>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619E5F-4E7F-4A3A-B756-85FA722D1D54}">
  <ds:schemaRefs/>
</ds:datastoreItem>
</file>

<file path=docProps/app.xml><?xml version="1.0" encoding="utf-8"?>
<Properties xmlns="http://schemas.openxmlformats.org/officeDocument/2006/extended-properties" xmlns:vt="http://schemas.openxmlformats.org/officeDocument/2006/docPropsVTypes">
  <Template>Normal</Template>
  <Company>HP</Company>
  <Pages>5</Pages>
  <Words>394</Words>
  <Characters>2248</Characters>
  <Lines>18</Lines>
  <Paragraphs>5</Paragraphs>
  <TotalTime>0</TotalTime>
  <ScaleCrop>false</ScaleCrop>
  <LinksUpToDate>false</LinksUpToDate>
  <CharactersWithSpaces>2637</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2021-11-04T02:26:00Z</dcterms:created>
  <dc:creator>admin</dc:creator>
  <cp:lastModifiedBy>Dolores</cp:lastModifiedBy>
  <cp:lastPrinted>2021-11-01T08:42:00Z</cp:lastPrinted>
  <dcterms:modified xsi:type="dcterms:W3CDTF">2024-04-17T00:51:37Z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88D703E7D3B544128C719C58A5757B20_13</vt:lpwstr>
  </property>
</Properties>
</file>